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FB" w:rsidRDefault="00E10CC9" w:rsidP="00E17C0D">
      <w:pPr>
        <w:pStyle w:val="Title"/>
      </w:pPr>
      <w:r>
        <w:t xml:space="preserve">Section </w:t>
      </w:r>
      <w:r w:rsidR="00F92E5A">
        <w:t>4.</w:t>
      </w:r>
      <w:r w:rsidR="00A5787B">
        <w:t>2</w:t>
      </w:r>
      <w:r w:rsidR="00DF7F91">
        <w:tab/>
      </w:r>
      <w:r w:rsidR="00A5787B">
        <w:t>Compound</w:t>
      </w:r>
      <w:r w:rsidR="00C6757D">
        <w:t xml:space="preserve"> Inequalities </w:t>
      </w:r>
    </w:p>
    <w:p w:rsidR="000D105E" w:rsidRDefault="000D105E" w:rsidP="00E17C0D"/>
    <w:p w:rsidR="000D105E" w:rsidRDefault="000D105E" w:rsidP="000D10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Two inequalities joined by the words </w:t>
      </w:r>
      <w:r w:rsidRPr="000D105E">
        <w:rPr>
          <w:rFonts w:asciiTheme="minorHAnsi" w:hAnsiTheme="minorHAnsi" w:cstheme="minorHAnsi"/>
          <w:b/>
        </w:rPr>
        <w:t>and</w:t>
      </w:r>
      <w:r>
        <w:rPr>
          <w:rFonts w:asciiTheme="minorHAnsi" w:hAnsiTheme="minorHAnsi" w:cstheme="minorHAnsi"/>
        </w:rPr>
        <w:t xml:space="preserve"> or </w:t>
      </w:r>
      <w:proofErr w:type="spellStart"/>
      <w:r w:rsidRPr="000D105E">
        <w:rPr>
          <w:rFonts w:asciiTheme="minorHAnsi" w:hAnsiTheme="minorHAnsi" w:cstheme="minorHAnsi"/>
          <w:b/>
        </w:rPr>
        <w:t>or</w:t>
      </w:r>
      <w:proofErr w:type="spellEnd"/>
      <w:r w:rsidRPr="000D105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 xml:space="preserve">are called </w:t>
      </w:r>
      <w:r w:rsidRPr="000D105E">
        <w:rPr>
          <w:rFonts w:asciiTheme="minorHAnsi" w:hAnsiTheme="minorHAnsi" w:cstheme="minorHAnsi"/>
          <w:b/>
        </w:rPr>
        <w:t>compound inequalities</w:t>
      </w:r>
      <w:r>
        <w:rPr>
          <w:rFonts w:asciiTheme="minorHAnsi" w:hAnsiTheme="minorHAnsi" w:cstheme="minorHAnsi"/>
        </w:rPr>
        <w:t xml:space="preserve">. </w:t>
      </w:r>
    </w:p>
    <w:p w:rsidR="000D105E" w:rsidRDefault="000D105E" w:rsidP="00D91AAA">
      <w:pPr>
        <w:pStyle w:val="Heading1"/>
      </w:pPr>
    </w:p>
    <w:p w:rsidR="00D91AAA" w:rsidRDefault="00D91AAA" w:rsidP="00D91AAA">
      <w:pPr>
        <w:pStyle w:val="Heading1"/>
      </w:pPr>
      <w:r w:rsidRPr="002B400A">
        <w:t xml:space="preserve">Objective 1:  </w:t>
      </w:r>
      <w:r w:rsidR="000D105E">
        <w:t>Solving Compound</w:t>
      </w:r>
      <w:r w:rsidR="00714499">
        <w:t xml:space="preserve"> Inequalities</w:t>
      </w:r>
      <w:r w:rsidR="000D105E">
        <w:t xml:space="preserve"> Containing “and”</w:t>
      </w:r>
    </w:p>
    <w:p w:rsidR="00DA55F4" w:rsidRDefault="00DA55F4" w:rsidP="00DA55F4"/>
    <w:p w:rsidR="00E50D3A" w:rsidRDefault="00596968" w:rsidP="000D105E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0D105E">
        <w:rPr>
          <w:rFonts w:asciiTheme="minorHAnsi" w:hAnsiTheme="minorHAnsi" w:cstheme="minorHAnsi"/>
        </w:rPr>
        <w:t xml:space="preserve">value is a solution of a compound inequality containing </w:t>
      </w:r>
      <w:r w:rsidR="000D105E" w:rsidRPr="003B7269">
        <w:rPr>
          <w:rFonts w:asciiTheme="minorHAnsi" w:hAnsiTheme="minorHAnsi" w:cstheme="minorHAnsi"/>
          <w:b/>
        </w:rPr>
        <w:t>and</w:t>
      </w:r>
      <w:r w:rsidR="000D105E">
        <w:rPr>
          <w:rFonts w:asciiTheme="minorHAnsi" w:hAnsiTheme="minorHAnsi" w:cstheme="minorHAnsi"/>
        </w:rPr>
        <w:t xml:space="preserve"> if it is a solution of both inequalities. For example, the solution set of the compound inequality </w:t>
      </w:r>
      <m:oMath>
        <m:r>
          <w:rPr>
            <w:rFonts w:ascii="Cambria Math" w:hAnsi="Cambria Math" w:cstheme="minorHAnsi"/>
          </w:rPr>
          <m:t>x≤5</m:t>
        </m:r>
      </m:oMath>
      <w:r w:rsidR="000D105E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x≥3</m:t>
        </m:r>
      </m:oMath>
      <w:r w:rsidR="000D105E">
        <w:rPr>
          <w:rFonts w:asciiTheme="minorHAnsi" w:hAnsiTheme="minorHAnsi" w:cstheme="minorHAnsi"/>
        </w:rPr>
        <w:t xml:space="preserve"> contains all values of </w:t>
      </w:r>
      <m:oMath>
        <m:r>
          <w:rPr>
            <w:rFonts w:ascii="Cambria Math" w:hAnsi="Cambria Math" w:cstheme="minorHAnsi"/>
          </w:rPr>
          <m:t>x</m:t>
        </m:r>
      </m:oMath>
      <w:r w:rsidR="000D105E">
        <w:rPr>
          <w:rFonts w:asciiTheme="minorHAnsi" w:hAnsiTheme="minorHAnsi" w:cstheme="minorHAnsi"/>
        </w:rPr>
        <w:t xml:space="preserve"> that make both statements true. The first graph shown below is the graph of </w:t>
      </w:r>
      <m:oMath>
        <m:r>
          <w:rPr>
            <w:rFonts w:ascii="Cambria Math" w:hAnsi="Cambria Math" w:cstheme="minorHAnsi"/>
          </w:rPr>
          <m:t>x≤5</m:t>
        </m:r>
      </m:oMath>
      <w:r w:rsidR="000D105E">
        <w:rPr>
          <w:rFonts w:asciiTheme="minorHAnsi" w:hAnsiTheme="minorHAnsi" w:cstheme="minorHAnsi"/>
        </w:rPr>
        <w:t xml:space="preserve">. The second graph is the graph of </w:t>
      </w:r>
      <m:oMath>
        <m:r>
          <w:rPr>
            <w:rFonts w:ascii="Cambria Math" w:hAnsi="Cambria Math" w:cstheme="minorHAnsi"/>
          </w:rPr>
          <m:t>x≥3</m:t>
        </m:r>
      </m:oMath>
      <w:r w:rsidR="000D105E">
        <w:rPr>
          <w:rFonts w:asciiTheme="minorHAnsi" w:hAnsiTheme="minorHAnsi" w:cstheme="minorHAnsi"/>
        </w:rPr>
        <w:t xml:space="preserve">. The third graph shows the intersection of the two graphs. This graph shows the solution set of the compound inequality </w:t>
      </w:r>
      <m:oMath>
        <m:r>
          <w:rPr>
            <w:rFonts w:ascii="Cambria Math" w:hAnsi="Cambria Math" w:cstheme="minorHAnsi"/>
          </w:rPr>
          <m:t>x≤5</m:t>
        </m:r>
      </m:oMath>
      <w:r w:rsidR="000D105E"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x≥3</m:t>
        </m:r>
      </m:oMath>
      <w:r w:rsidR="000D105E">
        <w:rPr>
          <w:rFonts w:asciiTheme="minorHAnsi" w:hAnsiTheme="minorHAnsi" w:cstheme="minorHAnsi"/>
        </w:rPr>
        <w:t>.</w:t>
      </w:r>
    </w:p>
    <w:p w:rsidR="000D105E" w:rsidRDefault="000D105E" w:rsidP="000D105E">
      <w:pPr>
        <w:spacing w:afterLines="24" w:after="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4096105" cy="1124047"/>
            <wp:effectExtent l="0" t="0" r="0" b="0"/>
            <wp:docPr id="29" name="Picture 29" descr="number line showing x less than or equal to 5 with closed circle on 5 and shaded to the left. &#10;&#10;number line showing x greater than or equal to 3 with closed circle on 3 and shaded to right.&#10;&#10;third number line showing the intersection with closed circles on 3 and 5 and shaded betwee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5C3C01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105" cy="11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5E" w:rsidRDefault="000D105E" w:rsidP="000D105E">
      <w:pPr>
        <w:spacing w:afterLines="24" w:after="57"/>
        <w:rPr>
          <w:rFonts w:asciiTheme="minorHAnsi" w:hAnsiTheme="minorHAnsi" w:cstheme="minorHAnsi"/>
        </w:rPr>
      </w:pPr>
    </w:p>
    <w:p w:rsidR="000D105E" w:rsidRDefault="000D105E" w:rsidP="000D105E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compound inequality ca</w:t>
      </w:r>
      <w:r w:rsidR="000A61BB">
        <w:rPr>
          <w:rFonts w:asciiTheme="minorHAnsi" w:hAnsiTheme="minorHAnsi" w:cstheme="minorHAnsi"/>
        </w:rPr>
        <w:t xml:space="preserve">n also be written as </w:t>
      </w:r>
      <m:oMath>
        <m:r>
          <w:rPr>
            <w:rFonts w:ascii="Cambria Math" w:hAnsi="Cambria Math" w:cstheme="minorHAnsi"/>
          </w:rPr>
          <m:t>3≤x≤5</m:t>
        </m:r>
      </m:oMath>
      <w:r w:rsidR="000A61BB">
        <w:rPr>
          <w:rFonts w:asciiTheme="minorHAnsi" w:hAnsiTheme="minorHAnsi" w:cstheme="minorHAnsi"/>
        </w:rPr>
        <w:t xml:space="preserve">. </w:t>
      </w:r>
    </w:p>
    <w:p w:rsidR="00F92B33" w:rsidRDefault="00F92B33" w:rsidP="000D105E">
      <w:pPr>
        <w:spacing w:afterLines="24" w:after="57"/>
        <w:rPr>
          <w:rFonts w:asciiTheme="minorHAnsi" w:hAnsiTheme="minorHAnsi" w:cstheme="minorHAnsi"/>
        </w:rPr>
      </w:pPr>
    </w:p>
    <w:p w:rsidR="00F92B33" w:rsidRDefault="00F92B33" w:rsidP="000D105E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the compound inequality. Graph the solution set on the number line.</w:t>
      </w:r>
    </w:p>
    <w:p w:rsidR="00F92B33" w:rsidRDefault="00F92B33" w:rsidP="000D105E">
      <w:pPr>
        <w:spacing w:afterLines="24" w:after="57"/>
        <w:rPr>
          <w:rFonts w:asciiTheme="minorHAnsi" w:hAnsiTheme="minorHAnsi" w:cstheme="minorHAnsi"/>
        </w:rPr>
      </w:pPr>
    </w:p>
    <w:p w:rsidR="007A4846" w:rsidRPr="003B7269" w:rsidRDefault="003B7269" w:rsidP="003B7269">
      <w:pPr>
        <w:spacing w:after="2200"/>
        <w:rPr>
          <w:rFonts w:asciiTheme="minorHAnsi" w:hAnsiTheme="minorHAnsi" w:cstheme="minorHAnsi"/>
        </w:rPr>
      </w:pPr>
      <w:r w:rsidRPr="003B7269">
        <w:rPr>
          <w:rFonts w:asciiTheme="minorHAnsi" w:hAnsiTheme="minorHAnsi" w:cstheme="minorHAnsi"/>
        </w:rPr>
        <w:t>a.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-2&lt;2x-8&lt;6</m:t>
        </m:r>
      </m:oMath>
    </w:p>
    <w:p w:rsidR="003B7269" w:rsidRPr="003B7269" w:rsidRDefault="003B7269" w:rsidP="003B7269">
      <w:pPr>
        <w:rPr>
          <w:rFonts w:asciiTheme="minorHAnsi" w:hAnsiTheme="minorHAnsi"/>
        </w:rPr>
      </w:pPr>
    </w:p>
    <w:p w:rsidR="0038092F" w:rsidRDefault="003B7269" w:rsidP="003B726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2560435" wp14:editId="18EC4A69">
            <wp:extent cx="4808220" cy="336850"/>
            <wp:effectExtent l="0" t="0" r="0" b="6350"/>
            <wp:docPr id="21" name="Picture 21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F2" w:rsidRDefault="00F92B33" w:rsidP="003B7269">
      <w:pPr>
        <w:spacing w:after="22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</w:t>
      </w:r>
      <m:oMath>
        <m:r>
          <w:rPr>
            <w:rFonts w:ascii="Cambria Math" w:hAnsi="Cambria Math" w:cstheme="minorHAnsi"/>
          </w:rPr>
          <m:t>-1≤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  <m:r>
          <w:rPr>
            <w:rFonts w:ascii="Cambria Math" w:hAnsi="Cambria Math" w:cstheme="minorHAnsi"/>
          </w:rPr>
          <m:t>x+3&lt;4</m:t>
        </m:r>
      </m:oMath>
    </w:p>
    <w:p w:rsidR="00F92B33" w:rsidRDefault="00F92B33" w:rsidP="00F92B3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53FBED1" wp14:editId="59884159">
            <wp:extent cx="4808220" cy="336850"/>
            <wp:effectExtent l="0" t="0" r="0" b="6350"/>
            <wp:docPr id="31" name="Picture 31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33" w:rsidRDefault="00F92B33" w:rsidP="00F92B33">
      <w:pPr>
        <w:rPr>
          <w:rFonts w:asciiTheme="minorHAnsi" w:hAnsiTheme="minorHAnsi" w:cstheme="minorHAnsi"/>
        </w:rPr>
      </w:pPr>
    </w:p>
    <w:p w:rsidR="00F92B33" w:rsidRDefault="00F92B33" w:rsidP="003B7269">
      <w:pPr>
        <w:spacing w:after="2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c. </w:t>
      </w:r>
      <m:oMath>
        <m:r>
          <w:rPr>
            <w:rFonts w:ascii="Cambria Math" w:hAnsi="Cambria Math" w:cstheme="minorHAnsi"/>
          </w:rPr>
          <m:t>0≤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4-x</m:t>
            </m:r>
          </m:num>
          <m:den>
            <m:r>
              <w:rPr>
                <w:rFonts w:ascii="Cambria Math" w:hAnsi="Cambria Math" w:cstheme="minorHAnsi"/>
              </w:rPr>
              <m:t>5</m:t>
            </m:r>
          </m:den>
        </m:f>
        <m:r>
          <w:rPr>
            <w:rFonts w:ascii="Cambria Math" w:hAnsi="Cambria Math" w:cstheme="minorHAnsi"/>
          </w:rPr>
          <m:t>≤2</m:t>
        </m:r>
      </m:oMath>
    </w:p>
    <w:p w:rsidR="00F92B33" w:rsidRDefault="00F92B33" w:rsidP="00F92B3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71E3DC7B" wp14:editId="4D8E4A07">
            <wp:extent cx="4808220" cy="336850"/>
            <wp:effectExtent l="0" t="0" r="0" b="6350"/>
            <wp:docPr id="32" name="Picture 32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33" w:rsidRDefault="00F92B33" w:rsidP="00F92B33">
      <w:pPr>
        <w:jc w:val="center"/>
        <w:rPr>
          <w:rFonts w:asciiTheme="minorHAnsi" w:hAnsiTheme="minorHAnsi" w:cstheme="minorHAnsi"/>
        </w:rPr>
      </w:pPr>
    </w:p>
    <w:p w:rsidR="00865DEC" w:rsidRDefault="00865DEC" w:rsidP="00865DEC">
      <w:pPr>
        <w:pStyle w:val="Heading1"/>
      </w:pPr>
      <w:r w:rsidRPr="002B400A">
        <w:t xml:space="preserve">Objective </w:t>
      </w:r>
      <w:r>
        <w:t>2</w:t>
      </w:r>
      <w:r w:rsidRPr="002B400A">
        <w:t xml:space="preserve">:  </w:t>
      </w:r>
      <w:r>
        <w:t>Solving Compound Inequalities Containing “</w:t>
      </w:r>
      <w:r>
        <w:t>or</w:t>
      </w:r>
      <w:r>
        <w:t>”</w:t>
      </w:r>
    </w:p>
    <w:p w:rsidR="00865DEC" w:rsidRDefault="00865DEC" w:rsidP="00865DEC"/>
    <w:p w:rsidR="00865DEC" w:rsidRDefault="00865DEC" w:rsidP="00865DEC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value is a solution of a compound inequality containing </w:t>
      </w:r>
      <w:r w:rsidRPr="00865DEC">
        <w:rPr>
          <w:rFonts w:asciiTheme="minorHAnsi" w:hAnsiTheme="minorHAnsi" w:cstheme="minorHAnsi"/>
          <w:b/>
        </w:rPr>
        <w:t>or</w:t>
      </w:r>
      <w:r>
        <w:rPr>
          <w:rFonts w:asciiTheme="minorHAnsi" w:hAnsiTheme="minorHAnsi" w:cstheme="minorHAnsi"/>
        </w:rPr>
        <w:t xml:space="preserve"> if it is a solution of </w:t>
      </w:r>
      <w:r>
        <w:rPr>
          <w:rFonts w:asciiTheme="minorHAnsi" w:hAnsiTheme="minorHAnsi" w:cstheme="minorHAnsi"/>
        </w:rPr>
        <w:t xml:space="preserve">either </w:t>
      </w:r>
      <w:r>
        <w:rPr>
          <w:rFonts w:asciiTheme="minorHAnsi" w:hAnsiTheme="minorHAnsi" w:cstheme="minorHAnsi"/>
        </w:rPr>
        <w:t>inequalit</w:t>
      </w:r>
      <w:r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. For example, the solution set of the compound inequality </w:t>
      </w:r>
      <m:oMath>
        <m:r>
          <w:rPr>
            <w:rFonts w:ascii="Cambria Math" w:hAnsi="Cambria Math" w:cstheme="minorHAnsi"/>
          </w:rPr>
          <m:t>x≤</m:t>
        </m:r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or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x≥3</m:t>
        </m:r>
      </m:oMath>
      <w:r>
        <w:rPr>
          <w:rFonts w:asciiTheme="minorHAnsi" w:hAnsiTheme="minorHAnsi" w:cstheme="minorHAnsi"/>
        </w:rPr>
        <w:t xml:space="preserve"> contains all values of </w:t>
      </w:r>
      <m:oMath>
        <m:r>
          <w:rPr>
            <w:rFonts w:ascii="Cambria Math" w:hAnsi="Cambria Math" w:cstheme="minorHAnsi"/>
          </w:rPr>
          <m:t>x</m:t>
        </m:r>
      </m:oMath>
      <w:r>
        <w:rPr>
          <w:rFonts w:asciiTheme="minorHAnsi" w:hAnsiTheme="minorHAnsi" w:cstheme="minorHAnsi"/>
        </w:rPr>
        <w:t xml:space="preserve"> that make </w:t>
      </w:r>
      <w:r>
        <w:rPr>
          <w:rFonts w:asciiTheme="minorHAnsi" w:hAnsiTheme="minorHAnsi" w:cstheme="minorHAnsi"/>
        </w:rPr>
        <w:t xml:space="preserve">the inequality </w:t>
      </w:r>
      <m:oMath>
        <m:r>
          <w:rPr>
            <w:rFonts w:ascii="Cambria Math" w:hAnsi="Cambria Math" w:cstheme="minorHAnsi"/>
          </w:rPr>
          <m:t>x≤1</m:t>
        </m:r>
      </m:oMath>
      <w:r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true</w:t>
      </w:r>
      <w:r>
        <w:rPr>
          <w:rFonts w:asciiTheme="minorHAnsi" w:hAnsiTheme="minorHAnsi" w:cstheme="minorHAnsi"/>
        </w:rPr>
        <w:t xml:space="preserve"> statement or the inequality </w:t>
      </w:r>
      <m:oMath>
        <m:r>
          <w:rPr>
            <w:rFonts w:ascii="Cambria Math" w:hAnsi="Cambria Math" w:cstheme="minorHAnsi"/>
          </w:rPr>
          <m:t>x≥3</m:t>
        </m:r>
      </m:oMath>
      <w:r>
        <w:rPr>
          <w:rFonts w:asciiTheme="minorHAnsi" w:hAnsiTheme="minorHAnsi" w:cstheme="minorHAnsi"/>
        </w:rPr>
        <w:t xml:space="preserve"> a true statement</w:t>
      </w:r>
      <w:r>
        <w:rPr>
          <w:rFonts w:asciiTheme="minorHAnsi" w:hAnsiTheme="minorHAnsi" w:cstheme="minorHAnsi"/>
        </w:rPr>
        <w:t xml:space="preserve">. The first graph shown below is the graph of </w:t>
      </w:r>
      <m:oMath>
        <m:r>
          <w:rPr>
            <w:rFonts w:ascii="Cambria Math" w:hAnsi="Cambria Math" w:cstheme="minorHAnsi"/>
          </w:rPr>
          <m:t>x≤</m:t>
        </m:r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. The second graph is the graph of </w:t>
      </w:r>
      <m:oMath>
        <m:r>
          <w:rPr>
            <w:rFonts w:ascii="Cambria Math" w:hAnsi="Cambria Math" w:cstheme="minorHAnsi"/>
          </w:rPr>
          <m:t>x≥3</m:t>
        </m:r>
      </m:oMath>
      <w:r>
        <w:rPr>
          <w:rFonts w:asciiTheme="minorHAnsi" w:hAnsiTheme="minorHAnsi" w:cstheme="minorHAnsi"/>
        </w:rPr>
        <w:t xml:space="preserve">. </w:t>
      </w:r>
      <w:r w:rsidR="003B7269">
        <w:rPr>
          <w:rFonts w:asciiTheme="minorHAnsi" w:hAnsiTheme="minorHAnsi" w:cstheme="minorHAnsi"/>
        </w:rPr>
        <w:t xml:space="preserve">The third shows the union of the two graphs. </w:t>
      </w:r>
      <w:proofErr w:type="gramStart"/>
      <w:r w:rsidR="003B7269">
        <w:rPr>
          <w:rFonts w:asciiTheme="minorHAnsi" w:hAnsiTheme="minorHAnsi" w:cstheme="minorHAnsi"/>
        </w:rPr>
        <w:t>This graphs</w:t>
      </w:r>
      <w:proofErr w:type="gramEnd"/>
      <w:r w:rsidR="003B7269">
        <w:rPr>
          <w:rFonts w:asciiTheme="minorHAnsi" w:hAnsiTheme="minorHAnsi" w:cstheme="minorHAnsi"/>
        </w:rPr>
        <w:t xml:space="preserve"> shows the solution set of the compound inequality </w:t>
      </w:r>
      <m:oMath>
        <m:r>
          <w:rPr>
            <w:rFonts w:ascii="Cambria Math" w:hAnsi="Cambria Math" w:cstheme="minorHAnsi"/>
          </w:rPr>
          <m:t>x≤1</m:t>
        </m:r>
      </m:oMath>
      <w:r w:rsidR="003B7269"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x≥3</m:t>
        </m:r>
      </m:oMath>
      <w:r w:rsidR="003B7269">
        <w:rPr>
          <w:rFonts w:asciiTheme="minorHAnsi" w:hAnsiTheme="minorHAnsi" w:cstheme="minorHAnsi"/>
        </w:rPr>
        <w:t>.</w:t>
      </w:r>
    </w:p>
    <w:p w:rsidR="00865DEC" w:rsidRDefault="00865DEC" w:rsidP="00865DEC">
      <w:pPr>
        <w:spacing w:afterLines="24" w:after="57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>
            <wp:extent cx="3981795" cy="1173582"/>
            <wp:effectExtent l="0" t="0" r="0" b="7620"/>
            <wp:docPr id="35" name="Picture 35" descr="number line showing x less than or equal to 1 with closed circle on 1 and shaded to the left. &#10;&#10;number line showing x greater than or equal to 3 with closed circle on 3 and shaded to right.&#10;&#10;third number line showing the union with closed circles on 1 and 3 and shaded to the left of 1 and right of 3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35C5EE7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795" cy="117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535" w:rsidRDefault="00653535" w:rsidP="00865DEC">
      <w:pPr>
        <w:spacing w:afterLines="24" w:after="57"/>
        <w:jc w:val="center"/>
        <w:rPr>
          <w:rFonts w:asciiTheme="minorHAnsi" w:hAnsiTheme="minorHAnsi" w:cstheme="minorHAnsi"/>
        </w:rPr>
      </w:pPr>
    </w:p>
    <w:p w:rsidR="00653535" w:rsidRDefault="00653535" w:rsidP="00653535">
      <w:pPr>
        <w:spacing w:afterLines="24" w:after="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Solve the compound inequality. Graph the solution set on the number line.</w:t>
      </w:r>
    </w:p>
    <w:p w:rsidR="00653535" w:rsidRDefault="00653535" w:rsidP="00653535">
      <w:pPr>
        <w:spacing w:afterLines="24" w:after="57"/>
        <w:rPr>
          <w:rFonts w:asciiTheme="minorHAnsi" w:hAnsiTheme="minorHAnsi" w:cstheme="minorHAnsi"/>
        </w:rPr>
      </w:pPr>
    </w:p>
    <w:p w:rsidR="003B7269" w:rsidRPr="003B7269" w:rsidRDefault="003B7269" w:rsidP="003B7269">
      <w:pPr>
        <w:spacing w:after="2800"/>
        <w:rPr>
          <w:rFonts w:asciiTheme="minorHAnsi" w:hAnsiTheme="minorHAnsi" w:cstheme="minorHAnsi"/>
        </w:rPr>
      </w:pPr>
      <w:r w:rsidRPr="003B7269">
        <w:rPr>
          <w:rFonts w:asciiTheme="minorHAnsi" w:hAnsiTheme="minorHAnsi" w:cstheme="minorHAnsi"/>
        </w:rPr>
        <w:t>a.</w:t>
      </w:r>
      <m:oMath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5x-3≤10</m:t>
        </m:r>
      </m:oMath>
      <w:r w:rsidR="0002674C" w:rsidRPr="003B7269"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x+1≥5</m:t>
        </m:r>
      </m:oMath>
    </w:p>
    <w:p w:rsidR="0002674C" w:rsidRPr="003B7269" w:rsidRDefault="0002674C" w:rsidP="003B7269">
      <w:pPr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440961BE" wp14:editId="36F78EF7">
            <wp:extent cx="4808220" cy="336850"/>
            <wp:effectExtent l="0" t="0" r="0" b="6350"/>
            <wp:docPr id="36" name="Picture 36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CD" w:rsidRDefault="00F402CD" w:rsidP="003B7269">
      <w:pPr>
        <w:spacing w:after="600"/>
        <w:rPr>
          <w:rFonts w:asciiTheme="minorHAnsi" w:hAnsiTheme="minorHAnsi" w:cstheme="minorHAnsi"/>
        </w:rPr>
      </w:pPr>
    </w:p>
    <w:p w:rsidR="00F402CD" w:rsidRDefault="00F402CD" w:rsidP="003B7269">
      <w:pPr>
        <w:spacing w:after="2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b. </w:t>
      </w:r>
      <m:oMath>
        <m:r>
          <w:rPr>
            <w:rFonts w:ascii="Cambria Math" w:hAnsi="Cambria Math" w:cstheme="minorHAnsi"/>
          </w:rPr>
          <m:t>5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x-2</m:t>
            </m:r>
          </m:e>
        </m:d>
        <m:r>
          <w:rPr>
            <w:rFonts w:ascii="Cambria Math" w:hAnsi="Cambria Math" w:cstheme="minorHAnsi"/>
          </w:rPr>
          <m:t>&lt;5</m:t>
        </m:r>
      </m:oMath>
      <w:r w:rsidR="003F03EA">
        <w:rPr>
          <w:rFonts w:asciiTheme="minorHAnsi" w:hAnsiTheme="minorHAnsi" w:cstheme="minorHAnsi"/>
        </w:rPr>
        <w:t xml:space="preserve"> or </w:t>
      </w:r>
      <m:oMath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9&gt;10</m:t>
        </m:r>
      </m:oMath>
      <w:bookmarkStart w:id="0" w:name="_GoBack"/>
      <w:bookmarkEnd w:id="0"/>
    </w:p>
    <w:p w:rsidR="00865DEC" w:rsidRDefault="00286CAC" w:rsidP="00295B1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688EAAF2" wp14:editId="444104C5">
            <wp:extent cx="4808220" cy="336850"/>
            <wp:effectExtent l="0" t="0" r="0" b="6350"/>
            <wp:docPr id="37" name="Picture 37" descr="blank number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35C19C4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511" cy="3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B33" w:rsidRDefault="00F92B33" w:rsidP="00F92B33">
      <w:pPr>
        <w:rPr>
          <w:rFonts w:asciiTheme="minorHAnsi" w:hAnsiTheme="minorHAnsi" w:cstheme="minorHAnsi"/>
        </w:rPr>
      </w:pPr>
    </w:p>
    <w:sectPr w:rsidR="00F92B33" w:rsidSect="00CA6DED">
      <w:headerReference w:type="default" r:id="rId11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411" w:rsidRDefault="004F1411">
      <w:r>
        <w:separator/>
      </w:r>
    </w:p>
  </w:endnote>
  <w:endnote w:type="continuationSeparator" w:id="0">
    <w:p w:rsidR="004F1411" w:rsidRDefault="004F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411" w:rsidRDefault="004F1411">
      <w:r>
        <w:separator/>
      </w:r>
    </w:p>
  </w:footnote>
  <w:footnote w:type="continuationSeparator" w:id="0">
    <w:p w:rsidR="004F1411" w:rsidRDefault="004F1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E4D" w:rsidRDefault="00E05E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90EE3"/>
    <w:multiLevelType w:val="hybridMultilevel"/>
    <w:tmpl w:val="65BC4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2496F"/>
    <w:multiLevelType w:val="hybridMultilevel"/>
    <w:tmpl w:val="7F1013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5130D"/>
    <w:multiLevelType w:val="hybridMultilevel"/>
    <w:tmpl w:val="750E11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8567D"/>
    <w:multiLevelType w:val="hybridMultilevel"/>
    <w:tmpl w:val="5B3A4C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5"/>
  </w:num>
  <w:num w:numId="4">
    <w:abstractNumId w:val="26"/>
  </w:num>
  <w:num w:numId="5">
    <w:abstractNumId w:val="1"/>
  </w:num>
  <w:num w:numId="6">
    <w:abstractNumId w:val="28"/>
  </w:num>
  <w:num w:numId="7">
    <w:abstractNumId w:val="3"/>
  </w:num>
  <w:num w:numId="8">
    <w:abstractNumId w:val="14"/>
  </w:num>
  <w:num w:numId="9">
    <w:abstractNumId w:val="22"/>
  </w:num>
  <w:num w:numId="10">
    <w:abstractNumId w:val="24"/>
  </w:num>
  <w:num w:numId="11">
    <w:abstractNumId w:val="11"/>
  </w:num>
  <w:num w:numId="12">
    <w:abstractNumId w:val="4"/>
  </w:num>
  <w:num w:numId="13">
    <w:abstractNumId w:val="29"/>
  </w:num>
  <w:num w:numId="14">
    <w:abstractNumId w:val="2"/>
  </w:num>
  <w:num w:numId="15">
    <w:abstractNumId w:val="0"/>
  </w:num>
  <w:num w:numId="16">
    <w:abstractNumId w:val="31"/>
  </w:num>
  <w:num w:numId="17">
    <w:abstractNumId w:val="36"/>
  </w:num>
  <w:num w:numId="18">
    <w:abstractNumId w:val="16"/>
  </w:num>
  <w:num w:numId="19">
    <w:abstractNumId w:val="13"/>
  </w:num>
  <w:num w:numId="20">
    <w:abstractNumId w:val="32"/>
  </w:num>
  <w:num w:numId="21">
    <w:abstractNumId w:val="6"/>
  </w:num>
  <w:num w:numId="22">
    <w:abstractNumId w:val="23"/>
  </w:num>
  <w:num w:numId="23">
    <w:abstractNumId w:val="3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33"/>
  </w:num>
  <w:num w:numId="28">
    <w:abstractNumId w:val="21"/>
  </w:num>
  <w:num w:numId="29">
    <w:abstractNumId w:val="30"/>
  </w:num>
  <w:num w:numId="30">
    <w:abstractNumId w:val="27"/>
  </w:num>
  <w:num w:numId="31">
    <w:abstractNumId w:val="7"/>
  </w:num>
  <w:num w:numId="32">
    <w:abstractNumId w:val="20"/>
  </w:num>
  <w:num w:numId="33">
    <w:abstractNumId w:val="8"/>
  </w:num>
  <w:num w:numId="34">
    <w:abstractNumId w:val="34"/>
  </w:num>
  <w:num w:numId="35">
    <w:abstractNumId w:val="18"/>
  </w:num>
  <w:num w:numId="36">
    <w:abstractNumId w:val="10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2674C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1413"/>
    <w:rsid w:val="000827F0"/>
    <w:rsid w:val="000840D5"/>
    <w:rsid w:val="00085E1A"/>
    <w:rsid w:val="00091AE2"/>
    <w:rsid w:val="000A1675"/>
    <w:rsid w:val="000A2012"/>
    <w:rsid w:val="000A35A0"/>
    <w:rsid w:val="000A61BB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105E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1337"/>
    <w:rsid w:val="00161812"/>
    <w:rsid w:val="00163168"/>
    <w:rsid w:val="00163220"/>
    <w:rsid w:val="00164736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86CAC"/>
    <w:rsid w:val="002928BE"/>
    <w:rsid w:val="00295531"/>
    <w:rsid w:val="00295B18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B9F"/>
    <w:rsid w:val="003206DA"/>
    <w:rsid w:val="00321748"/>
    <w:rsid w:val="00325D89"/>
    <w:rsid w:val="003310B6"/>
    <w:rsid w:val="00336D77"/>
    <w:rsid w:val="003371EF"/>
    <w:rsid w:val="00343A4B"/>
    <w:rsid w:val="003458B1"/>
    <w:rsid w:val="00347BF9"/>
    <w:rsid w:val="00352D28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714A"/>
    <w:rsid w:val="003B2FA2"/>
    <w:rsid w:val="003B4E68"/>
    <w:rsid w:val="003B54FE"/>
    <w:rsid w:val="003B7269"/>
    <w:rsid w:val="003C3806"/>
    <w:rsid w:val="003C5005"/>
    <w:rsid w:val="003C603B"/>
    <w:rsid w:val="003D3DAC"/>
    <w:rsid w:val="003E1C85"/>
    <w:rsid w:val="003E202B"/>
    <w:rsid w:val="003E3CD6"/>
    <w:rsid w:val="003E76DD"/>
    <w:rsid w:val="003E77E2"/>
    <w:rsid w:val="003F03EA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1411"/>
    <w:rsid w:val="004F456B"/>
    <w:rsid w:val="004F6033"/>
    <w:rsid w:val="004F7FB6"/>
    <w:rsid w:val="005021FB"/>
    <w:rsid w:val="00503605"/>
    <w:rsid w:val="00503BFD"/>
    <w:rsid w:val="00503EE5"/>
    <w:rsid w:val="00504189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5A0"/>
    <w:rsid w:val="00594589"/>
    <w:rsid w:val="00595F71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7E83"/>
    <w:rsid w:val="005F2040"/>
    <w:rsid w:val="006046BA"/>
    <w:rsid w:val="0060538F"/>
    <w:rsid w:val="00606C51"/>
    <w:rsid w:val="006117A7"/>
    <w:rsid w:val="00616E8D"/>
    <w:rsid w:val="006219B2"/>
    <w:rsid w:val="0062714C"/>
    <w:rsid w:val="0063680A"/>
    <w:rsid w:val="006375CB"/>
    <w:rsid w:val="00637BF6"/>
    <w:rsid w:val="006450AD"/>
    <w:rsid w:val="00653535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5DEC"/>
    <w:rsid w:val="008723F9"/>
    <w:rsid w:val="008752E8"/>
    <w:rsid w:val="00876B52"/>
    <w:rsid w:val="008777C3"/>
    <w:rsid w:val="00877B82"/>
    <w:rsid w:val="00883CEB"/>
    <w:rsid w:val="00884EC3"/>
    <w:rsid w:val="0088566C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B3362"/>
    <w:rsid w:val="009B358A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512C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5787B"/>
    <w:rsid w:val="00A6374D"/>
    <w:rsid w:val="00A64375"/>
    <w:rsid w:val="00A6634C"/>
    <w:rsid w:val="00A70621"/>
    <w:rsid w:val="00A714B5"/>
    <w:rsid w:val="00A729B4"/>
    <w:rsid w:val="00A72E2D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411B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55F4"/>
    <w:rsid w:val="00DB092E"/>
    <w:rsid w:val="00DD1723"/>
    <w:rsid w:val="00DE0547"/>
    <w:rsid w:val="00DE08BE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02CD"/>
    <w:rsid w:val="00F418A4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2B33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FB4"/>
    <w:rsid w:val="00FE12B0"/>
    <w:rsid w:val="00FE3E60"/>
    <w:rsid w:val="00FE7D6D"/>
    <w:rsid w:val="00FF053C"/>
    <w:rsid w:val="00FF2D0C"/>
    <w:rsid w:val="00FF462D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378E4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DBDB-6478-4693-AB94-AFB81958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11</cp:revision>
  <cp:lastPrinted>2019-02-26T17:17:00Z</cp:lastPrinted>
  <dcterms:created xsi:type="dcterms:W3CDTF">2021-11-14T22:42:00Z</dcterms:created>
  <dcterms:modified xsi:type="dcterms:W3CDTF">2021-11-14T23:08:00Z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